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2300288</wp:posOffset>
            </wp:positionH>
            <wp:positionV relativeFrom="paragraph">
              <wp:posOffset>0</wp:posOffset>
            </wp:positionV>
            <wp:extent cx="1345735" cy="1032049"/>
            <wp:effectExtent b="0" l="0" r="0" t="0"/>
            <wp:wrapSquare wrapText="bothSides" distB="0" distT="0" distL="0" distR="0"/>
            <wp:docPr descr="/Users/robertopalacios/Desktop/C&amp;A/LOGO-C&amp;A-CLEAR-BLUE-02.png" id="5" name="image1.png"/>
            <a:graphic>
              <a:graphicData uri="http://schemas.openxmlformats.org/drawingml/2006/picture">
                <pic:pic>
                  <pic:nvPicPr>
                    <pic:cNvPr descr="/Users/robertopalacios/Desktop/C&amp;A/LOGO-C&amp;A-CLEAR-BLUE-02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5735" cy="10320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C&amp;A CONTINÚA SUS METAS DE SUSTENTABILIDAD CON SU PARTICIPACIÓN EN EL ÍNDICE DE TRANSPARENCIA DE LA MODA EN MÉXICO 2021</w:t>
      </w:r>
    </w:p>
    <w:p w:rsidR="00000000" w:rsidDel="00000000" w:rsidP="00000000" w:rsidRDefault="00000000" w:rsidRPr="00000000" w14:paraId="0000000B">
      <w:pPr>
        <w:spacing w:after="180" w:lineRule="auto"/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Ciudad de México, 17 de diciembre del 2021 – </w:t>
      </w:r>
      <w:r w:rsidDel="00000000" w:rsidR="00000000" w:rsidRPr="00000000">
        <w:rPr>
          <w:sz w:val="24"/>
          <w:szCs w:val="24"/>
          <w:rtl w:val="0"/>
        </w:rPr>
        <w:t xml:space="preserve"> Para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, la sustentabilidad es uno de nuestros valores más importantes, pues creemos que todas las personas deberían poder verse y sentirse bien a diario, sin comprometer la calidad de vida de quienes fabrican nuestra ropa y respetando al planeta.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Dentro de la búsqueda por la sustentabilidad, nos importa mantener la mayor transparencia posible en toda nuestra cadena de suministros, y herramientas como el </w:t>
      </w:r>
      <w:r w:rsidDel="00000000" w:rsidR="00000000" w:rsidRPr="00000000">
        <w:rPr>
          <w:b w:val="1"/>
          <w:sz w:val="24"/>
          <w:szCs w:val="24"/>
          <w:rtl w:val="0"/>
        </w:rPr>
        <w:t xml:space="preserve">Índice de Transparencia de la Moda en México 2021 </w:t>
      </w:r>
      <w:r w:rsidDel="00000000" w:rsidR="00000000" w:rsidRPr="00000000">
        <w:rPr>
          <w:sz w:val="24"/>
          <w:szCs w:val="24"/>
          <w:rtl w:val="0"/>
        </w:rPr>
        <w:t xml:space="preserve">nos parecen cruciales para incentivar la conversación acerca de estos </w:t>
      </w:r>
      <w:r w:rsidDel="00000000" w:rsidR="00000000" w:rsidRPr="00000000">
        <w:rPr>
          <w:sz w:val="24"/>
          <w:szCs w:val="24"/>
          <w:rtl w:val="0"/>
        </w:rPr>
        <w:t xml:space="preserve">temas</w:t>
      </w:r>
      <w:r w:rsidDel="00000000" w:rsidR="00000000" w:rsidRPr="00000000">
        <w:rPr>
          <w:sz w:val="24"/>
          <w:szCs w:val="24"/>
          <w:rtl w:val="0"/>
        </w:rPr>
        <w:t xml:space="preserve">. Esta herramienta, que desde el año pasado se lleva a cabo en nuestro país,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tiene como objetivo medir el grado de transparencia de las marcas en cuanto a sus prácticas y políticas en la cadena de suministro.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Por segunda ocasión, </w:t>
      </w:r>
      <w:r w:rsidDel="00000000" w:rsidR="00000000" w:rsidRPr="00000000">
        <w:rPr>
          <w:b w:val="1"/>
          <w:sz w:val="24"/>
          <w:szCs w:val="24"/>
          <w:rtl w:val="0"/>
        </w:rPr>
        <w:t xml:space="preserve">Fashion Revolution México </w:t>
      </w:r>
      <w:r w:rsidDel="00000000" w:rsidR="00000000" w:rsidRPr="00000000">
        <w:rPr>
          <w:sz w:val="24"/>
          <w:szCs w:val="24"/>
          <w:rtl w:val="0"/>
        </w:rPr>
        <w:t xml:space="preserve">y </w:t>
      </w:r>
      <w:r w:rsidDel="00000000" w:rsidR="00000000" w:rsidRPr="00000000">
        <w:rPr>
          <w:b w:val="1"/>
          <w:sz w:val="24"/>
          <w:szCs w:val="24"/>
          <w:rtl w:val="0"/>
        </w:rPr>
        <w:t xml:space="preserve">Arlenica </w:t>
      </w:r>
      <w:r w:rsidDel="00000000" w:rsidR="00000000" w:rsidRPr="00000000">
        <w:rPr>
          <w:sz w:val="24"/>
          <w:szCs w:val="24"/>
          <w:rtl w:val="0"/>
        </w:rPr>
        <w:t xml:space="preserve">(Arte, Lenguaje e Investigación para el Cambio Social, A.C.) coordinaron este índice y realizaron un análisis a profundidad sobre la información pública de 31 marcas en cuanto a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políticas, las prácticas y las repercusiones sociales y ambientales de las empresas a lo largo de su cadena de valor.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esta evaluación,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 </w:t>
      </w:r>
      <w:r w:rsidDel="00000000" w:rsidR="00000000" w:rsidRPr="00000000">
        <w:rPr>
          <w:sz w:val="24"/>
          <w:szCs w:val="24"/>
          <w:rtl w:val="0"/>
        </w:rPr>
        <w:t xml:space="preserve">logró un puntaje del 58% colocándose por segunda vez consecutiva en el primer lugar del índice obteniendo las siguientes puntuaciones en las cinco diferentes secciones de esta herramienta: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Políticas y Compromisos 93%: </w:t>
      </w:r>
      <w:r w:rsidDel="00000000" w:rsidR="00000000" w:rsidRPr="00000000">
        <w:rPr>
          <w:sz w:val="24"/>
          <w:szCs w:val="24"/>
          <w:rtl w:val="0"/>
        </w:rPr>
        <w:t xml:space="preserve">Esta sección se enfoca en la disponibilidad pública de la información sobre las políticas de la empresa sobre derechos humanos y medio ambiente.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Gobernanza: 77</w:t>
      </w:r>
      <w:r w:rsidDel="00000000" w:rsidR="00000000" w:rsidRPr="00000000">
        <w:rPr>
          <w:sz w:val="24"/>
          <w:szCs w:val="24"/>
          <w:rtl w:val="0"/>
        </w:rPr>
        <w:t xml:space="preserve">%. En este apartado, se analiza la disponibilidad pública de información sobre los cargos y comités internos sobre temas como derechos humanos, medio ambiente y su respectivo aseguramiento en la compra de suministros y otros procesos.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Trazabilidad: 65</w:t>
      </w:r>
      <w:r w:rsidDel="00000000" w:rsidR="00000000" w:rsidRPr="00000000">
        <w:rPr>
          <w:sz w:val="24"/>
          <w:szCs w:val="24"/>
          <w:rtl w:val="0"/>
        </w:rPr>
        <w:t xml:space="preserve">%. Inciso que evalúa los protocolos necesarios para lograr la visibilidad de insumos en la producción de moda, garantizando conocer temas como prácticas medioambientales o la situación laboral de los proveedores.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Due-Diligence</w:t>
      </w:r>
      <w:r w:rsidDel="00000000" w:rsidR="00000000" w:rsidRPr="00000000">
        <w:rPr>
          <w:b w:val="1"/>
          <w:sz w:val="24"/>
          <w:szCs w:val="24"/>
          <w:rtl w:val="0"/>
        </w:rPr>
        <w:t xml:space="preserve">: 51</w:t>
      </w:r>
      <w:r w:rsidDel="00000000" w:rsidR="00000000" w:rsidRPr="00000000">
        <w:rPr>
          <w:sz w:val="24"/>
          <w:szCs w:val="24"/>
          <w:rtl w:val="0"/>
        </w:rPr>
        <w:t xml:space="preserve">%. Espacio que califica los mecanismos empresariales para conocer, mostrar y arreglar riesgos e impactos negativos en su cadena de suministro.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Temáticas Destacadas: 40</w:t>
      </w:r>
      <w:r w:rsidDel="00000000" w:rsidR="00000000" w:rsidRPr="00000000">
        <w:rPr>
          <w:sz w:val="24"/>
          <w:szCs w:val="24"/>
          <w:rtl w:val="0"/>
        </w:rPr>
        <w:t xml:space="preserve">%. Asuntos como cambio climático, equidad de género y prácticas de compra, entre otros.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“En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i w:val="1"/>
          <w:sz w:val="24"/>
          <w:szCs w:val="24"/>
          <w:rtl w:val="0"/>
        </w:rPr>
        <w:t xml:space="preserve"> nos importa de qué están hechas nuestras prendas y cómo se hicieron. Este primer lugar nos ayuda a seguir fortaleciendo este mensaje, y a continuar desarrollando mejores prácticas de sustentabilidad en nuestros productos y cadena de suministro”</w:t>
      </w:r>
      <w:r w:rsidDel="00000000" w:rsidR="00000000" w:rsidRPr="00000000">
        <w:rPr>
          <w:sz w:val="24"/>
          <w:szCs w:val="24"/>
          <w:rtl w:val="0"/>
        </w:rPr>
        <w:t xml:space="preserve">, expresó Alejandra Sánchez, Líder de Sustentabilidad de</w:t>
      </w:r>
      <w:r w:rsidDel="00000000" w:rsidR="00000000" w:rsidRPr="00000000">
        <w:rPr>
          <w:b w:val="1"/>
          <w:sz w:val="24"/>
          <w:szCs w:val="24"/>
          <w:rtl w:val="0"/>
        </w:rPr>
        <w:t xml:space="preserve"> C&amp;A </w:t>
      </w:r>
      <w:r w:rsidDel="00000000" w:rsidR="00000000" w:rsidRPr="00000000">
        <w:rPr>
          <w:sz w:val="24"/>
          <w:szCs w:val="24"/>
          <w:rtl w:val="0"/>
        </w:rPr>
        <w:t xml:space="preserve">México.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Durante 2021,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hemos implementado acciones concretas, como el lanzamiento por tercer año consecutivo de la colección </w:t>
      </w:r>
      <w:r w:rsidDel="00000000" w:rsidR="00000000" w:rsidRPr="00000000">
        <w:rPr>
          <w:b w:val="1"/>
          <w:sz w:val="24"/>
          <w:szCs w:val="24"/>
          <w:rtl w:val="0"/>
        </w:rPr>
        <w:t xml:space="preserve">Wear The Change</w:t>
      </w:r>
      <w:r w:rsidDel="00000000" w:rsidR="00000000" w:rsidRPr="00000000">
        <w:rPr>
          <w:sz w:val="24"/>
          <w:szCs w:val="24"/>
          <w:rtl w:val="0"/>
        </w:rPr>
        <w:t xml:space="preserve">, fabricada con materiales más sustentables y procesos como </w:t>
      </w:r>
      <w:r w:rsidDel="00000000" w:rsidR="00000000" w:rsidRPr="00000000">
        <w:rPr>
          <w:b w:val="1"/>
          <w:sz w:val="24"/>
          <w:szCs w:val="24"/>
          <w:rtl w:val="0"/>
        </w:rPr>
        <w:t xml:space="preserve">BioWash</w:t>
      </w:r>
      <w:r w:rsidDel="00000000" w:rsidR="00000000" w:rsidRPr="00000000">
        <w:rPr>
          <w:sz w:val="24"/>
          <w:szCs w:val="24"/>
          <w:rtl w:val="0"/>
        </w:rPr>
        <w:t xml:space="preserve">, el cual ahorra hasta un 60% de agua en el lavado de mezclilla. 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Además, este año publicamos nuestro </w:t>
      </w:r>
      <w:r w:rsidDel="00000000" w:rsidR="00000000" w:rsidRPr="00000000">
        <w:rPr>
          <w:sz w:val="24"/>
          <w:szCs w:val="24"/>
          <w:rtl w:val="0"/>
        </w:rPr>
        <w:t xml:space="preserve">Marco de Sustentabilidad 2028</w:t>
      </w:r>
      <w:r w:rsidDel="00000000" w:rsidR="00000000" w:rsidRPr="00000000">
        <w:rPr>
          <w:sz w:val="24"/>
          <w:szCs w:val="24"/>
          <w:rtl w:val="0"/>
        </w:rPr>
        <w:t xml:space="preserve">, estrategia que reafirma las metas en los próximos años en temas como materiales, el bienestar de las personas que manufacturan nuestras prendas, nuestro compromiso con la transparencia y el impulso a la moda circular. 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¡Hoy es el mejor momento para vestir el cambio! Y a través de resultados como los que muestra el </w:t>
      </w:r>
      <w:r w:rsidDel="00000000" w:rsidR="00000000" w:rsidRPr="00000000">
        <w:rPr>
          <w:b w:val="1"/>
          <w:sz w:val="24"/>
          <w:szCs w:val="24"/>
          <w:rtl w:val="0"/>
        </w:rPr>
        <w:t xml:space="preserve">Índice de Transparencia de la Moda en México 2021</w:t>
      </w:r>
      <w:r w:rsidDel="00000000" w:rsidR="00000000" w:rsidRPr="00000000">
        <w:rPr>
          <w:sz w:val="24"/>
          <w:szCs w:val="24"/>
          <w:rtl w:val="0"/>
        </w:rPr>
        <w:t xml:space="preserve">, continuaremos con nuestra misión de ofrecer moda accesible de manera responsable.</w:t>
        <w:br w:type="textWrapping"/>
        <w:br w:type="textWrapping"/>
        <w:t xml:space="preserve">Para conocer el reporte completo, da </w:t>
      </w:r>
      <w:r w:rsidDel="00000000" w:rsidR="00000000" w:rsidRPr="00000000">
        <w:rPr>
          <w:i w:val="1"/>
          <w:sz w:val="24"/>
          <w:szCs w:val="24"/>
          <w:rtl w:val="0"/>
        </w:rPr>
        <w:t xml:space="preserve">click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aquí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C&amp;A México es una marca que diseña, desarrolla y comercializa moda accesible de forma responsable, poniendo especial atención en las necesidades y estilos del mercado mexicano. Busca sorprender a clientes e inversionistas al ser una fuerza positiva con lo que hacen, y en la forma en que lo hacen.</w:t>
      </w:r>
    </w:p>
    <w:p w:rsidR="00000000" w:rsidDel="00000000" w:rsidP="00000000" w:rsidRDefault="00000000" w:rsidRPr="00000000" w14:paraId="00000028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9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Actualmente cuenta con 77 sucursales en el interior de la República Mexicana.</w:t>
      </w:r>
    </w:p>
    <w:p w:rsidR="00000000" w:rsidDel="00000000" w:rsidP="00000000" w:rsidRDefault="00000000" w:rsidRPr="00000000" w14:paraId="0000002A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Para más información visita: http://www.cyamoda.com </w:t>
      </w:r>
    </w:p>
    <w:p w:rsidR="00000000" w:rsidDel="00000000" w:rsidP="00000000" w:rsidRDefault="00000000" w:rsidRPr="00000000" w14:paraId="0000002C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síguenos en:</w:t>
      </w:r>
    </w:p>
    <w:p w:rsidR="00000000" w:rsidDel="00000000" w:rsidP="00000000" w:rsidRDefault="00000000" w:rsidRPr="00000000" w14:paraId="0000002E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Facebook:</w:t>
      </w:r>
      <w:r w:rsidDel="00000000" w:rsidR="00000000" w:rsidRPr="00000000">
        <w:rPr>
          <w:sz w:val="18"/>
          <w:szCs w:val="18"/>
          <w:rtl w:val="0"/>
        </w:rPr>
        <w:t xml:space="preserve"> @cymoda</w:t>
      </w:r>
    </w:p>
    <w:p w:rsidR="00000000" w:rsidDel="00000000" w:rsidP="00000000" w:rsidRDefault="00000000" w:rsidRPr="00000000" w14:paraId="00000030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Instagram:</w:t>
      </w:r>
      <w:r w:rsidDel="00000000" w:rsidR="00000000" w:rsidRPr="00000000">
        <w:rPr>
          <w:sz w:val="18"/>
          <w:szCs w:val="18"/>
          <w:rtl w:val="0"/>
        </w:rPr>
        <w:t xml:space="preserve"> @cyamoda</w:t>
      </w:r>
    </w:p>
    <w:p w:rsidR="00000000" w:rsidDel="00000000" w:rsidP="00000000" w:rsidRDefault="00000000" w:rsidRPr="00000000" w14:paraId="00000031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Twitter: </w:t>
      </w:r>
      <w:r w:rsidDel="00000000" w:rsidR="00000000" w:rsidRPr="00000000">
        <w:rPr>
          <w:sz w:val="18"/>
          <w:szCs w:val="18"/>
          <w:rtl w:val="0"/>
        </w:rPr>
        <w:t xml:space="preserve">@cyamoda</w:t>
      </w:r>
    </w:p>
    <w:p w:rsidR="00000000" w:rsidDel="00000000" w:rsidP="00000000" w:rsidRDefault="00000000" w:rsidRPr="00000000" w14:paraId="00000032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34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36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Laura Briones </w:t>
      </w:r>
    </w:p>
    <w:p w:rsidR="00000000" w:rsidDel="00000000" w:rsidP="00000000" w:rsidRDefault="00000000" w:rsidRPr="00000000" w14:paraId="00000037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Account Executive</w:t>
      </w:r>
    </w:p>
    <w:p w:rsidR="00000000" w:rsidDel="00000000" w:rsidP="00000000" w:rsidRDefault="00000000" w:rsidRPr="00000000" w14:paraId="00000038">
      <w:pPr>
        <w:jc w:val="both"/>
        <w:rPr>
          <w:color w:val="202124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Cel: (+52 1)  55 1372 9330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color w:val="202124"/>
          <w:sz w:val="18"/>
          <w:szCs w:val="18"/>
          <w:highlight w:val="white"/>
          <w:rtl w:val="0"/>
        </w:rPr>
        <w:t xml:space="preserve">laura.briones@another.co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3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Jimena Valdez</w:t>
      </w:r>
    </w:p>
    <w:p w:rsidR="00000000" w:rsidDel="00000000" w:rsidP="00000000" w:rsidRDefault="00000000" w:rsidRPr="00000000" w14:paraId="0000003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Coordinadora de relaciones públicas </w:t>
      </w:r>
    </w:p>
    <w:p w:rsidR="00000000" w:rsidDel="00000000" w:rsidP="00000000" w:rsidRDefault="00000000" w:rsidRPr="00000000" w14:paraId="0000003F">
      <w:pPr>
        <w:rPr>
          <w:color w:val="555555"/>
          <w:sz w:val="18"/>
          <w:szCs w:val="18"/>
          <w:highlight w:val="white"/>
        </w:rPr>
      </w:pPr>
      <w:hyperlink r:id="rId9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gvaldez@cyamexico.com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Tel: (33)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3100 8628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FA1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FA1A4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FA1A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FA1A42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FA1A42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A1A42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A1A42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7B3D2F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7E2A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E2A07"/>
    <w:rPr>
      <w:color w:val="605e5c"/>
      <w:shd w:color="auto" w:fill="e1dfdd" w:val="clear"/>
    </w:rPr>
  </w:style>
  <w:style w:type="paragraph" w:styleId="Revision">
    <w:name w:val="Revision"/>
    <w:hidden w:val="1"/>
    <w:uiPriority w:val="99"/>
    <w:semiHidden w:val="1"/>
    <w:rsid w:val="008B74BA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valdez@cyamexico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bit.ly/3FZorW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GXZk22HwapJTKYHsVijUZ+6bxQ==">AMUW2mU0nF35Ucw3MBdFJLB8MvCKLcn2XKx96vvUCgtvbF6t89njn8pGzHwX3/ebAWOVXjwfHD/RrpC564v7GZYuxAWQxno9II+5o/+jzywE/BNaK82sBKCi6GXboCrsOS4LNH6pyBEu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2021-12-16T16:42:00Z</dcterms:created>
  <dc:creator>Lorena Hernandez | Marketing</dc:creator>
</cp:coreProperties>
</file>